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2011/41 vom 15. April 2013</w:t>
      </w:r>
    </w:p>
    <w:p>
      <w:r>
        <w:t>Sg Versicherungsgericht, 2013-04-15, DE</w:t>
      </w:r>
    </w:p>
    <w:p>
      <w:r>
        <w:rPr>
          <w:b/>
        </w:rPr>
        <w:t xml:space="preserve">Quelle: </w:t>
      </w:r>
      <w:r>
        <w:t>https://mcp.opencaselaw.ch/entscheid/sg_publikationen_IV 2011_41</w:t>
      </w:r>
    </w:p>
    <w:p>
      <w:r>
        <w:t>FR: SG_VERSICHERUNGSGERICHT IV 2011/41 du 15 avril 2013</w:t>
      </w:r>
    </w:p>
    <w:p>
      <w:r>
        <w:t>IT: SG_VERSICHERUNGSGERICHT IV 2011/41 del 15 aprile 2013</w:t>
      </w:r>
    </w:p>
    <w:p>
      <w:pPr>
        <w:pStyle w:val="Heading2"/>
      </w:pPr>
      <w:r>
        <w:t>Regeste</w:t>
      </w:r>
    </w:p>
    <w:p>
      <w:r>
        <w:t>Art. 16 ATSG, Art. 28 Abs. 2 IVG. Trotz Grundsatz "Eingliederung vor Rente" steht vorliegend ein Rentenanspruch selbst ohne Eingliederungsmassnahmen nicht in Frage, so dass zu Recht vor Prüfung des Anspruchs auf berufliche Massnahmen über die Rentenfrage entschieden wurde. ABI-Gutachten ist beweistauglich. Die Berechnung des Invaliditätsgrades - unter Berücksichtigung eines Leidensabzugs - führt zu keinem Rentenanspruch (Entscheid des Versicherungsgerichts des Kantons St. Gallen vom 15. April 2013, IV 2011/41).</w:t>
      </w:r>
    </w:p>
    <w:p>
      <w:pPr>
        <w:pStyle w:val="Heading2"/>
      </w:pPr>
      <w:r>
        <w:t>Erwägungen</w:t>
      </w:r>
    </w:p>
    <w:p>
      <w:r>
        <w:rPr>
          <w:b/>
        </w:rPr>
        <w:t>E. 1</w:t>
      </w:r>
    </w:p>
    <w:p>
      <w:r>
        <w:t>Vorliegend ist ein Sachverhalt zu beurteilen, wie er sich bis zum Erlass der ange­fochtenen Verfügung (am 15. Dezember 2010) entwickelt hat. Mit der angefochtenen Verfügung hat die Beschwerdegegnerin den Einwand gegen den Vorbescheid vom 12. Mai 2010 abgewiesen, mit dem sie einen Rentenanspruch des Beschwerdeführers abgelehnt hatte. Zwar ist, wie sich aus Art. 16 ATSG ergibt, der Einkommensvergleich zur Bemessung des Invaliditätsgrades erst nach Durchführung der medizinischen Be­handlung und allfälliger Eingliederungsmassnahmen vorzunehmen ("Eingliederung vor Rente") und hat die versicherte Person, wenn ohne berufliche Massnahmen ein Renten­anspruch droht, die Pflicht, sich geeigneten und zumutbaren Eingliederungsmass­nahmen zu unterziehen. Ein Rentenanspruch steht vorliegend indessen - wie sich aus dem folgenden ergibt - selbst ohne Eingliederungsmassnahmen nicht in Frage, so dass die Eingliederung lediglich einen Anspruch des Beschwerdeführers bildete. Dass die Beschwerdegegnerin die vom Beschwerdeführer mit Gesuch vom 27. Oktober 2010 erneut beantragte Zusprache von beruflichen Massnahmen erst nach der ange­fochtenen Verfügung angeordnet und zuerst über die Rentenfrage entschieden hat, ist demnach bei der gegebenen Aktenlage nicht zu beanstanden.</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352 E. 3a, 122 V 160 E. 1c, je mit Hinweisen).</w:t>
      </w:r>
    </w:p>
    <w:p>
      <w:r>
        <w:rPr>
          <w:b/>
        </w:rPr>
        <w:t>E. 2.3</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des Beschwerdeführers ist unbestrittenermassen nach der allgemeinen Methode des Einkommensvergleichs zu bemessen.</w:t>
      </w:r>
    </w:p>
    <w:p>
      <w:r>
        <w:rPr>
          <w:b/>
        </w:rPr>
        <w:t>E. 3.1</w:t>
      </w:r>
    </w:p>
    <w:p>
      <w:r>
        <w:t>Dass die bisherige Tätigkeit für den Beschwerdeführer nicht mehr in Frage kommt, ist nicht strittig und aufgrund der medizinischen Akten ausgewiesen. Hingegen bestehen erhebliche Differenzen in Bezug auf die Beurteilung der Zumutbarkeit einer angepassten Tätigkeit. Während sich die Beschwerdegegnerin gestützt auf das Gutachten des ABI auf den Standpunkt stellt, eine adaptierte Arbeit könne vom Beschwerdeführer zu 80 % ausgeführt werden, vertritt seine Rechtsvertreterin die Auffassung, dies sei nur zu 50 % möglich.</w:t>
      </w:r>
    </w:p>
    <w:p>
      <w:r>
        <w:rPr>
          <w:b/>
        </w:rPr>
        <w:t>E. 3.2</w:t>
      </w:r>
    </w:p>
    <w:p>
      <w:r>
        <w:t>Von der Rechtsvertreterin des Beschwerdeführers wird vorgebracht, das Gutachten des ABI vermöge nicht zu überzeugen, da die Gutachter eine nicht nachvollziehbare und nicht begründete Einschätzung der Arbeitsfähigkeit von 80 % in einer körperlich leichten, wechselbelastenden Tätigkeit abgeben würden. Dem Gutachten des ABI vom 27. April 2010 lässt sich entnehmen, dass es sich unter anderem auf Untersuchungen in internistischer, psychiatrischer und rheumatologischer Hinsicht stützt. In die Gesamt­beurteilung der Arbeitsfähigkeit, welche im Rahmen einer multidisziplinären Konsens-Besprechung (mit Dr. med. H.___, Fachärztin für Rheumatologie und Innere Medizin, Dr. med. I.___, Allgemeine Innere Medizin, und Dr. med. J.___, FMH Psychiatrie und Psychotherapie) getroffen wurde, wurden alle Aspekte miteinbezogen. Es wird dazu festgehalten, dass aufgrund der objektivierbaren rheumatolo­gischen Befunde eine myostatische Insuffizienz mit den entsprechenden muskuloliga­mentären Überlastungsreaktionen, Dysbalancen der Schultergürtelmuskulatur und eine Diskushernie L5/S1 mit Kompression der Nervenwurzel L5 rechts bestehe. Somit seien die angestammte Tätigkeit sowie weitere mittelschwere und schwere Tätigkeiten nicht mehr zumutbar. Für körperlich leichte, wechselbelastende Tätigkeiten ohne Einnahme von wirbelsäulenbelastenden Zwangshaltungen bestünde aus rheumatologischer Sicht eine 80 %ige Arbeitsfähigkeit. Bei der psychiatrischen Untersuchung habe kein pathologischer Befund erhoben werden können. Aufgrund dessen bestünde aus psychiatrischer Sicht keine Einschränkung der Arbeits- und Leistungsfähigkeit. Auf allgemeinmedizinisch-internistischem Fachgebiet habe keine Diagnose mit Einschränkung der Arbeitsfähigkeit gestellt werden können. Zusammenfassend werde aus poly­disziplinärer Sicht festgestellt, dass der Explorand für eine körperlich leichte, wechsel­belastende Tätigkeit zu 80 % arbeits- und leistungsfähig sei, vollschichtig realisierbar. Die angestammte Tätigkeit eines E.___-Arbeiters sei dem Exploranden nicht mehr zumutbar (IV-act. 82-14). Das Gutachten ist von einer eigens für die Abklärung und Be­urteilung der zumutbaren Arbeitsfähigkeit vorgesehenen Abklärungsstelle der IV erstellt worden. Die gutachterlichen Ausführungen erscheinen insgesamt nachvollziehbar und schlüssig, mithin ist das Gutachten ausreichend begründet. Die Einschätzung der Arbeitsfähigkeit von 80 % in einer körperlich leichten, wechselbelastenden Tätig­keit scheint plausibel. Dies nicht zuletzt deshalb, weil gemäss rheumatologischer Be­urteilung die lumbospondylogenen Beschwerden teilweise muskuloligamentärer und die zervikospondylogenen Beschwerden vor allem muskulärer Art sind. So führte Dr. H.___ aus, dass sich hinsichtlich des chronischen lumbospondylogenen Schmerz­syndroms bei der aktuellen klinischen Untersuchung eine myostatische Insuffizienz mit den entsprechenden muskuloligamentären Überlastungsreaktionen finde und ein chronisches zervikospondylogenes Schmerzsyndrom mit linksseitigen Zerviko­zephalgien bei Dysbalancen der Schultergürtelmuskulatur bestehe (IV-act. 82-12). Da diesen Beschwerden aus rheumatologischer Sicht mit einem regelmässigen Trainings­programm zur Kräftigung der rumpfstabilisierenden Muskulatur sowie zur Dehnung und Detonisierung der verkürzten Muskelgruppen begegnet werden kann (IV-act. 82-15), sind sie nicht invalidisierend. Eine 80 %ige Arbeitsfähigkeit in einer ideal adaptierten Tätigkeit scheint mithin auch unter diesem Aspekt ausgewiesen.</w:t>
      </w:r>
    </w:p>
    <w:p>
      <w:r>
        <w:rPr>
          <w:b/>
        </w:rPr>
        <w:t>E. 3.3</w:t>
      </w:r>
    </w:p>
    <w:p>
      <w:r>
        <w:t>Die Gutachter gelangten in ihrer Stellungnahme zum Schreiben der Rechtsver­treterin des Beschwerdeführers am 2. September 2010 (IV-act. 94-1 f.) zum Schluss, dass lediglich bezüglich der prozentualen Arbeitsfähigkeit für leichte, adaptierte Tätig­keiten Differenzen zwischen Dr. F.___ und den Gutachern bestünden. Ursächlich für diese Diskrepanz sei vermutlich die schwierige Rolle des behandelnden Arztes, welcher naturgemäss bemüht sei, seinen Patienten zu helfen und sie zu beschützen. Dieser Hintergrund werde dadurch bestätigt, dass Dr. F.___ in seinem Bericht vom 18. März 2009 angebe, der Explorand könne grundsätzlich aus Sicht des Wirbelsäulenchirurgen ohne Einschränkung alles machen. Damit bestehe faktisch auch bezüglich Arbeitsfähig­keit in Verweistätigkeiten Übereinstimmung zwischen Dr. F.___ und den Gutachtern. Die Gutachter wiesen darauf hin, dass weder bei Dr. F.___ noch bei ihrer eigenen Unter­suchung sensomotorische Defizite und/oder radikuläre Symptomatik feststellbar ge­wesen seien und dies für ein konservatives Vorgehen gesprochen habe. Dass die von Dr. F.___ denn auch bereits im März 2009 vorgeschlagene Physiotherapie und peri­durale Schmerztherapie nicht umgesetzt worden seien, sei nicht nachvollziehbar. Der kernspintomographische Befund der LWS vom März 2008 sei im Übrigen korrekt zitiert und gewertet worden. Eine medizinische Notwendigkeit für eine erneute kernspin­tomographische Untersuchung der LWS habe angesichts fehlender radikulärer Symptome und fehlender Wurzelkompressionssymptomatik nicht bestanden. Die Gut­achter gelangten zum Schluss, die subjektiv empfundene 50 %ige Arbeitsunfähigkeit könne nicht nachvollzogen werden. Der Explorand selbst sehe die grössten Schwierig­keiten, sich wieder in den Erwerbsprozess zu reintegrieren darin, dass er keine ents­prechende Stelle finde. Daraus könne jedoch keine Arbeitsunfähigkeit im medizinischen Sinne begründet werden (IV-act. 94-2). Diese gutachterlichen Ausführungen sind eben­falls plausibel und nachvollziehbar, zumal in Bezug auf die Angaben von Dr. F.___ der allgemeinen Erfahrungstatsache Rechnung zu tragen ist, dass die behandelnden Ärzte im Hinblick auf ihre auftragsrechtliche Vertrauensstellung mitunter in Zweifelsfällen eher zugunsten ihrer Patienten und Patientinnen aussagen (BGE 125 V 351 E. 3b/cc).</w:t>
      </w:r>
    </w:p>
    <w:p>
      <w:r>
        <w:rPr>
          <w:b/>
        </w:rPr>
        <w:t>E. 3.4</w:t>
      </w:r>
    </w:p>
    <w:p>
      <w:r>
        <w:t>Es ist zusammenfassend festzustellen, dass gegenüber dem Gutachten, das in seinen Schlussfolgerungen nachvollziehbar ist und in Kenntnis der Vorakten und der geklagten Beschwerden sowie nach Erheben der Anamnese abgegeben worden ist, demnach auf umfassenden Kenntnissen des Sachverhalts basiert und im Zusammen­wirken der verschiedenen betroffenen Disziplinen zustande gekommen ist, die Be­urteilung von Dr. F.___ weniger zu überzeugen vermag. Abzustellen ist mithin auf das Ergebnis des medizinischen Gutachtens.</w:t>
      </w:r>
    </w:p>
    <w:p>
      <w:r>
        <w:rPr>
          <w:b/>
        </w:rPr>
        <w:t>E. 4.1</w:t>
      </w:r>
    </w:p>
    <w:p>
      <w:r>
        <w:t>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w:t>
      </w:r>
    </w:p>
    <w:p>
      <w:r>
        <w:rPr>
          <w:b/>
        </w:rPr>
        <w:t>E. 4.2</w:t>
      </w:r>
    </w:p>
    <w:p>
      <w:r>
        <w:t>Anspruch auf eine Rente haben versicherte Personen, die während eines Jahres ohne wesentlichen Unterbruch durchschnittlich mindestens 40 % arbeitsunfähig ge­wesen sind und nach Ablauf dieses Jahres zu mindestens 40 % invalid sind (Art. 28 Abs. 1 lit. b und c IVG). Aktenkundig ist, dass der Beschwerdeführer in seiner ange­stammten Tätigkeit als E.___-Arbeiter seit 6. Februar 2008 zu 100 % arbeitsunfähig ist (IV-act. 82-15). Ein allfälliger Rentenanspruch des Beschwerdeführers könnte damit nach Ablauf des Wartejahres gemäss dem oben Ausgeführten per 1. Februar 2009 ent­standen sein.</w:t>
      </w:r>
    </w:p>
    <w:p>
      <w:r>
        <w:rPr>
          <w:b/>
        </w:rPr>
        <w:t>E. 4.3</w:t>
      </w:r>
    </w:p>
    <w:p>
      <w:r>
        <w:t>Für die Ermittlung des Einkommens, welches der Versicherte ohne Invalidität er­zielen könnte (Valideneinkommen), ist entscheidend, was er im Zeitpunkt des frühest­möglichen Rentenbeginns, nach dem Beweisgrad der überwiegenden Wahrscheinlich­keit, als Gesunder tatsächlich verdient hätte (BGE 129 V 222 f. E. 4.2 in fine, 128 V 174, Urteil des Bundesgerichts I 156/02 vom 26. Mai 2003).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(RKUV 1993 Nr. U 168 S. 101 Erw. 3b). Es rechtfertigt sich daher, für den Einkommensvergleich die Zahlen für das Jahr 2009 heranzuziehen. Der Beschwerdeführer erzielte im Jahr 2007 ein Ein­kommen von Fr. 56'360.70 (IV-act. 20-14, Lohnauszug 2007, Bruttolohn abzüglich Kinder- und Ausbildungszulagen), das als Valideneinkommen bezeichnet werden kann. Das Valideneinkommen im Jahr 2009 inklusiv Teuerung und Reallohnerhöhung beläuft sich nach dem Gesagten auf Fr. 58'811.15 (Valideneinkommen 2007: Fr. 56'360.70, Nominallohnindex Männer 2007: 2047 / 2009: 2136).</w:t>
      </w:r>
    </w:p>
    <w:p>
      <w:r>
        <w:rPr>
          <w:b/>
        </w:rPr>
        <w:t>E. 4.4</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Ist kein effektives Erwerbseinkommen gegeben, namentlich weil die versicherte Person nach Eintritt des Gesundheitsschadens keine oder jedenfalls keine ihr an sich zumutbare neue Erwerbstätigkeit aufgenommen hat, so können nach der Recht­sprechung statistische Werde (Tabellenlöhne) beigezogen werden (BGE 129 V 472 E. 4.2.1, Bundesgerichtsentscheid i/S C. vom 19. Juni 2008, 9C_81/2008). Das ist hier am Platz. Der Beschwerdeführer ist zwar darauf angewiesen, dass eine Tätigkeit körperlich leicht und wechselbelastend sowie ohne Einnahme von wirbelsäulenbe­lastenden Zwangshaltungen sein muss (IV-act. 82-12). Diese Voraussetzungen setzen ihm aber nicht so enge Grenzen, so dass auf einem ausgeglichenen Arbeitsmarkt durchaus noch Einsatzmöglichkeiten für ihn offen stehen (vgl. Entscheid des Eidge­nössischen Versicherungsgerichts i/S S. vom 5. September 2006, I 447/06; ZAK 1991 S. 320 f. E. 3b). Im Übrigen erzielt der Beschwerdeführer zwar ab August 2011 als Reinigungsmitarbeiter im Umfang von 50 % bei der Firma H.___ ein Erwerbseinkommen (act. G 5, S. 2; G 12.1.1). Gemäss ABI-Gutachten ist der Beschwerdeführer in einer angepassten leichten Tätig­keit hingegen zu 80 % arbeits- und leistungsfähig. Der Beschwerdeführer schöpft somit in seiner jetzigen Tätigkeit seine verbliebene Restarbeitsfähigkeit nicht vollständig aus, weshalb beim Invalideneinkommen nicht auf das als Reinigungsmitarbeiter erzielte Einkommen abzustellen ist.</w:t>
      </w:r>
    </w:p>
    <w:p>
      <w:r>
        <w:rPr>
          <w:b/>
        </w:rPr>
        <w:t>E. 4.5</w:t>
      </w:r>
    </w:p>
    <w:p>
      <w:r>
        <w:t>Das durchschnittliche Bruttoeinkommen von Männern für einfache und repetitive Tätigkeiten (Anforderungsniveau 4) im privaten Sektor lag im Jahr 2009 bei Fr. 61'240.-- (vgl. Anhang 2 der Textausgabe Invalidenversicherung, Gesetze und Verordnungen mit Querverweisen und Sachregister, Ausgabe 2012, S. 234, basierend auf der Schweize­rischen Lohnstrukturerhebung LSE des Bundesamtes für Statistik).</w:t>
      </w:r>
    </w:p>
    <w:p>
      <w:r>
        <w:rPr>
          <w:b/>
        </w:rPr>
        <w:t>E. 4.6</w:t>
      </w:r>
    </w:p>
    <w:p>
      <w:r>
        <w:t>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(BGE 126 V 75). - Die medizinisch bedingten Einschränkungen des Beschwerdeführers sind bei der Festsetzung der Arbeitsfähigkeit bereits berück­sichtigt worden. Alter, Migrationshintergrund und Ausbildungsstand bieten ebenfalls nicht Grund für einen Abzug, weil sie sich auf das Validen- wie auf das Invaliden­einkommen gleichermassen auswirken. Es ist aber damit zu rechnen, dass der Be­schwerdeführer, der als Hilfsarbeiter nur noch für leichte, vorzugsweise wechselbe­lastende und ohne wirbelsäulenbelastende Zwangshaltungen auszuübende Tätig­keiten zu 80 % arbeitsfähig ist, im Vergleich zu gesunden Mitbewerbern um eine ent­sprechende Stelle auf dem Arbeitsmarkt ein geringeres Einkommen erzielen wird. Tabellenlöhne werden bei gesunden Arbeitnehmern erhoben. Insgesamt erscheint ein Tabellenlohnabzug von 10 % angemessen. Das Durchschnittseinkommen ist somit auf Fr. 55'116.-- herabzusetzen. Bei einer Arbeitsfähigkeit von 80 % ergibt sich ein zumut­bares Invalideneinkommen von Fr. 44'092.80.</w:t>
      </w:r>
    </w:p>
    <w:p>
      <w:r>
        <w:rPr>
          <w:b/>
        </w:rPr>
        <w:t>E. 4.7</w:t>
      </w:r>
    </w:p>
    <w:p>
      <w:r>
        <w:t>Die Frage, ob eine Parallelisierung der Vergleichseinkommen vorzunehmen sei, weil der vom Beschwerdeführer vor Eintritt des Gesundheitsschadens effektiv erzielte Verdienst unterdurchschnittlich gewesen wäre, kann offen bleiben. Da der Beschwerde­führer seit fast 20 Jahren als E.___-Mitarbeiter gearbeitet hat, kann nicht davon ausgegangen werden, er hätte sich im Gesundheitsfall um eine besser entlöhnte Tätig­keit bemüht. Nur dann aber wäre es gerechtfertigt, auch für das Valideneinkommen auf die Durchschnittslöhne gemäss LSE abzustellen. Dies ist hier nicht der Fall.</w:t>
      </w:r>
    </w:p>
    <w:p>
      <w:r>
        <w:rPr>
          <w:b/>
        </w:rPr>
        <w:t>E. 4.8</w:t>
      </w:r>
    </w:p>
    <w:p>
      <w:r>
        <w:t>Bei einem Valideneinkommen von Fr. 58'811.15 und einem zumutbaren Invalideneinkommen von Fr. 44'092.80 stellt sich der Invaliditätsgrad auf 25 %. Einen Anspruch des Beschwerdeführers auf eine Invalidenrente hat die Beschwerdegegnerin demnach zu Recht abgewiesen.</w:t>
      </w:r>
    </w:p>
    <w:p>
      <w:r>
        <w:rPr>
          <w:b/>
        </w:rPr>
        <w:t>E. 5.1</w:t>
      </w:r>
    </w:p>
    <w:p>
      <w:r>
        <w:t>Demnach ist die Beschwerde abzuweisen.</w:t>
      </w:r>
    </w:p>
    <w:p>
      <w:r>
        <w:rPr>
          <w:b/>
        </w:rPr>
        <w:t>E. 5.2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des Be­schwerdeführers rechtfertigt es sich, ihm die Gerichtskosten unter Verrechnung mit dem von ihm in selbiger Höhe geleisteten Kostenvorschuss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